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41BFD" w14:textId="4E754060" w:rsidR="00E04F22" w:rsidRPr="00B3537C" w:rsidRDefault="00E04F22" w:rsidP="00E04F22">
      <w:pPr>
        <w:pStyle w:val="Heading1"/>
        <w:numPr>
          <w:ilvl w:val="0"/>
          <w:numId w:val="0"/>
        </w:numPr>
        <w:shd w:val="clear" w:color="auto" w:fill="FFFFFF"/>
        <w:spacing w:before="0" w:after="0"/>
        <w:ind w:left="720" w:hanging="708"/>
        <w:rPr>
          <w:rFonts w:asciiTheme="minorHAnsi" w:hAnsiTheme="minorHAnsi" w:cs="Arial"/>
          <w:sz w:val="22"/>
          <w:szCs w:val="22"/>
        </w:rPr>
      </w:pPr>
      <w:r w:rsidRPr="00B3537C">
        <w:rPr>
          <w:rFonts w:asciiTheme="minorHAnsi" w:hAnsiTheme="minorHAnsi" w:cs="Arial"/>
          <w:sz w:val="22"/>
          <w:szCs w:val="22"/>
        </w:rPr>
        <w:t>SECTION 430(2B) COMPANIES ACT 2006 STATEMENT</w:t>
      </w:r>
      <w:r>
        <w:rPr>
          <w:rFonts w:asciiTheme="minorHAnsi" w:hAnsiTheme="minorHAnsi" w:cs="Arial"/>
          <w:sz w:val="22"/>
          <w:szCs w:val="22"/>
        </w:rPr>
        <w:t xml:space="preserve"> 1</w:t>
      </w:r>
      <w:r>
        <w:rPr>
          <w:rFonts w:asciiTheme="minorHAnsi" w:hAnsiTheme="minorHAnsi" w:cs="Arial"/>
          <w:sz w:val="22"/>
          <w:szCs w:val="22"/>
        </w:rPr>
        <w:t>2 DECE</w:t>
      </w:r>
      <w:r>
        <w:rPr>
          <w:rFonts w:asciiTheme="minorHAnsi" w:hAnsiTheme="minorHAnsi" w:cs="Arial"/>
          <w:sz w:val="22"/>
          <w:szCs w:val="22"/>
        </w:rPr>
        <w:t>mber 2018</w:t>
      </w:r>
    </w:p>
    <w:p w14:paraId="64C2A1BC" w14:textId="77777777" w:rsidR="00E04F22" w:rsidRPr="00B3537C" w:rsidRDefault="00E04F22" w:rsidP="00E04F22">
      <w:pPr>
        <w:pStyle w:val="bj"/>
        <w:spacing w:before="0" w:beforeAutospacing="0" w:after="0" w:afterAutospacing="0"/>
        <w:jc w:val="both"/>
        <w:rPr>
          <w:rStyle w:val="bf"/>
          <w:rFonts w:asciiTheme="minorHAnsi" w:hAnsiTheme="minorHAnsi" w:cstheme="minorHAnsi"/>
          <w:b/>
          <w:bCs/>
        </w:rPr>
      </w:pPr>
    </w:p>
    <w:p w14:paraId="19C387A2" w14:textId="028124CD" w:rsidR="00E04F22" w:rsidRPr="00B3537C" w:rsidRDefault="00E04F22" w:rsidP="00E04F22">
      <w:pPr>
        <w:pStyle w:val="bj"/>
        <w:spacing w:before="0" w:beforeAutospacing="0" w:after="0" w:afterAutospacing="0"/>
        <w:jc w:val="both"/>
        <w:rPr>
          <w:rFonts w:asciiTheme="minorHAnsi" w:hAnsiTheme="minorHAnsi" w:cstheme="minorHAnsi"/>
          <w:b/>
          <w:bCs/>
        </w:rPr>
      </w:pPr>
      <w:r w:rsidRPr="00B3537C">
        <w:rPr>
          <w:rStyle w:val="bf"/>
          <w:rFonts w:asciiTheme="minorHAnsi" w:hAnsiTheme="minorHAnsi" w:cstheme="minorHAnsi"/>
          <w:b/>
          <w:bCs/>
        </w:rPr>
        <w:t xml:space="preserve">Termination payment for </w:t>
      </w:r>
      <w:r>
        <w:rPr>
          <w:rStyle w:val="bf"/>
          <w:rFonts w:asciiTheme="minorHAnsi" w:hAnsiTheme="minorHAnsi" w:cstheme="minorHAnsi"/>
          <w:b/>
          <w:bCs/>
        </w:rPr>
        <w:t>John Watson</w:t>
      </w:r>
      <w:r w:rsidRPr="00B3537C">
        <w:rPr>
          <w:rStyle w:val="bf"/>
          <w:rFonts w:asciiTheme="minorHAnsi" w:hAnsiTheme="minorHAnsi" w:cstheme="minorHAnsi"/>
          <w:b/>
          <w:bCs/>
        </w:rPr>
        <w:t>:</w:t>
      </w:r>
    </w:p>
    <w:p w14:paraId="7D371FA0" w14:textId="77777777" w:rsidR="00E04F22" w:rsidRPr="00B3537C" w:rsidDel="00ED7298" w:rsidRDefault="00E04F22" w:rsidP="00E04F22">
      <w:pPr>
        <w:pStyle w:val="a"/>
        <w:spacing w:before="0" w:beforeAutospacing="0" w:after="0" w:afterAutospacing="0"/>
        <w:jc w:val="both"/>
        <w:rPr>
          <w:rFonts w:asciiTheme="minorHAnsi" w:hAnsiTheme="minorHAnsi" w:cstheme="minorHAnsi"/>
        </w:rPr>
      </w:pPr>
      <w:r w:rsidRPr="00B3537C" w:rsidDel="00ED7298">
        <w:rPr>
          <w:rStyle w:val="bf"/>
          <w:rFonts w:asciiTheme="minorHAnsi" w:hAnsiTheme="minorHAnsi" w:cstheme="minorHAnsi"/>
        </w:rPr>
        <w:t>The following information is provided in accordance with section 430(2B) of the Companies Act 2006</w:t>
      </w:r>
      <w:r w:rsidRPr="00B3537C">
        <w:rPr>
          <w:rStyle w:val="bf"/>
          <w:rFonts w:asciiTheme="minorHAnsi" w:hAnsiTheme="minorHAnsi" w:cstheme="minorHAnsi"/>
        </w:rPr>
        <w:t xml:space="preserve"> (the Act).</w:t>
      </w:r>
    </w:p>
    <w:p w14:paraId="46C52BCB" w14:textId="77777777" w:rsidR="00E04F22" w:rsidRPr="00B3537C" w:rsidRDefault="00E04F22" w:rsidP="00E04F22">
      <w:pPr>
        <w:pStyle w:val="br"/>
        <w:spacing w:before="0" w:beforeAutospacing="0" w:after="0" w:afterAutospacing="0"/>
        <w:jc w:val="both"/>
        <w:rPr>
          <w:rStyle w:val="bf"/>
          <w:rFonts w:asciiTheme="minorHAnsi" w:hAnsiTheme="minorHAnsi" w:cstheme="minorHAnsi"/>
        </w:rPr>
      </w:pPr>
    </w:p>
    <w:p w14:paraId="152DEF87" w14:textId="47F32366" w:rsidR="00E04F22" w:rsidRDefault="00E04F22" w:rsidP="00E04F22">
      <w:pPr>
        <w:pStyle w:val="br"/>
        <w:spacing w:before="0" w:beforeAutospacing="0" w:after="264" w:afterAutospacing="0"/>
        <w:jc w:val="both"/>
        <w:rPr>
          <w:rFonts w:asciiTheme="minorHAnsi" w:hAnsiTheme="minorHAnsi" w:cstheme="minorHAnsi"/>
          <w:color w:val="000000"/>
          <w:shd w:val="clear" w:color="auto" w:fill="FFFFFF"/>
        </w:rPr>
      </w:pPr>
      <w:r w:rsidRPr="00B3537C">
        <w:rPr>
          <w:rStyle w:val="bf"/>
          <w:rFonts w:asciiTheme="minorHAnsi" w:hAnsiTheme="minorHAnsi" w:cstheme="minorHAnsi"/>
        </w:rPr>
        <w:t xml:space="preserve">As announced on </w:t>
      </w:r>
      <w:r w:rsidR="00707D38">
        <w:rPr>
          <w:rStyle w:val="bf"/>
          <w:rFonts w:asciiTheme="minorHAnsi" w:hAnsiTheme="minorHAnsi" w:cstheme="minorHAnsi"/>
        </w:rPr>
        <w:t>27 July 2018,</w:t>
      </w:r>
      <w:bookmarkStart w:id="0" w:name="_GoBack"/>
      <w:bookmarkEnd w:id="0"/>
      <w:r w:rsidRPr="00B3537C">
        <w:rPr>
          <w:rStyle w:val="bf"/>
          <w:rFonts w:asciiTheme="minorHAnsi" w:hAnsiTheme="minorHAnsi" w:cstheme="minorHAnsi"/>
        </w:rPr>
        <w:t xml:space="preserve"> John </w:t>
      </w:r>
      <w:r>
        <w:rPr>
          <w:rStyle w:val="bf"/>
          <w:rFonts w:asciiTheme="minorHAnsi" w:hAnsiTheme="minorHAnsi" w:cstheme="minorHAnsi"/>
        </w:rPr>
        <w:t>Watson</w:t>
      </w:r>
      <w:r w:rsidRPr="00B3537C">
        <w:rPr>
          <w:rStyle w:val="bf"/>
          <w:rFonts w:asciiTheme="minorHAnsi" w:hAnsiTheme="minorHAnsi" w:cstheme="minorHAnsi"/>
        </w:rPr>
        <w:t xml:space="preserve"> retired from the Board on </w:t>
      </w:r>
      <w:r>
        <w:rPr>
          <w:rStyle w:val="bf"/>
          <w:rFonts w:asciiTheme="minorHAnsi" w:hAnsiTheme="minorHAnsi" w:cstheme="minorHAnsi"/>
        </w:rPr>
        <w:t>12 December 2018 at the conclusion of AGM.</w:t>
      </w:r>
      <w:r w:rsidRPr="00B3537C">
        <w:rPr>
          <w:rStyle w:val="bf"/>
          <w:rFonts w:asciiTheme="minorHAnsi" w:hAnsiTheme="minorHAnsi" w:cstheme="minorHAnsi"/>
        </w:rPr>
        <w:t xml:space="preserve">  </w:t>
      </w:r>
      <w:r w:rsidRPr="00B3537C">
        <w:rPr>
          <w:rFonts w:asciiTheme="minorHAnsi" w:hAnsiTheme="minorHAnsi" w:cstheme="minorHAnsi"/>
          <w:color w:val="000000"/>
          <w:shd w:val="clear" w:color="auto" w:fill="FFFFFF"/>
        </w:rPr>
        <w:t>In accordance with section 430 (2B) of the Companies Act 2006, t</w:t>
      </w:r>
      <w:r>
        <w:rPr>
          <w:rFonts w:asciiTheme="minorHAnsi" w:hAnsiTheme="minorHAnsi" w:cstheme="minorHAnsi"/>
          <w:color w:val="000000"/>
          <w:shd w:val="clear" w:color="auto" w:fill="FFFFFF"/>
        </w:rPr>
        <w:t>he Company confirms that John Watson</w:t>
      </w:r>
      <w:r w:rsidRPr="00B3537C">
        <w:rPr>
          <w:rFonts w:asciiTheme="minorHAnsi" w:hAnsiTheme="minorHAnsi" w:cstheme="minorHAnsi"/>
          <w:color w:val="000000"/>
          <w:shd w:val="clear" w:color="auto" w:fill="FFFFFF"/>
        </w:rPr>
        <w:t xml:space="preserve"> will receive payment of fees as </w:t>
      </w:r>
      <w:r>
        <w:rPr>
          <w:rFonts w:asciiTheme="minorHAnsi" w:hAnsiTheme="minorHAnsi" w:cstheme="minorHAnsi"/>
          <w:color w:val="000000"/>
          <w:shd w:val="clear" w:color="auto" w:fill="FFFFFF"/>
        </w:rPr>
        <w:t>Chairman</w:t>
      </w:r>
      <w:r w:rsidRPr="00B3537C">
        <w:rPr>
          <w:rFonts w:asciiTheme="minorHAnsi" w:hAnsiTheme="minorHAnsi" w:cstheme="minorHAnsi"/>
          <w:color w:val="000000"/>
          <w:shd w:val="clear" w:color="auto" w:fill="FFFFFF"/>
        </w:rPr>
        <w:t xml:space="preserve"> up to and including his date of resignation. No other remuneration payment or payment for loss of office will be made.</w:t>
      </w:r>
    </w:p>
    <w:p w14:paraId="79B9346C" w14:textId="01CA3745" w:rsidR="003943FB" w:rsidRPr="00B3537C" w:rsidRDefault="003943FB" w:rsidP="00856CE1">
      <w:pPr>
        <w:pStyle w:val="Heading1"/>
        <w:numPr>
          <w:ilvl w:val="0"/>
          <w:numId w:val="0"/>
        </w:numPr>
        <w:shd w:val="clear" w:color="auto" w:fill="FFFFFF"/>
        <w:spacing w:before="0" w:after="0"/>
        <w:ind w:left="720" w:hanging="708"/>
        <w:rPr>
          <w:rFonts w:asciiTheme="minorHAnsi" w:hAnsiTheme="minorHAnsi" w:cs="Arial"/>
          <w:sz w:val="22"/>
          <w:szCs w:val="22"/>
        </w:rPr>
      </w:pPr>
      <w:r w:rsidRPr="00B3537C">
        <w:rPr>
          <w:rFonts w:asciiTheme="minorHAnsi" w:hAnsiTheme="minorHAnsi" w:cs="Arial"/>
          <w:sz w:val="22"/>
          <w:szCs w:val="22"/>
        </w:rPr>
        <w:t>SECTION 430(2B) COMPANIES ACT 2006 STATEMENT</w:t>
      </w:r>
      <w:r w:rsidR="00685951">
        <w:rPr>
          <w:rFonts w:asciiTheme="minorHAnsi" w:hAnsiTheme="minorHAnsi" w:cs="Arial"/>
          <w:sz w:val="22"/>
          <w:szCs w:val="22"/>
        </w:rPr>
        <w:t xml:space="preserve"> 1 November 2018</w:t>
      </w:r>
    </w:p>
    <w:p w14:paraId="52559366" w14:textId="77777777" w:rsidR="00ED7298" w:rsidRPr="00B3537C" w:rsidRDefault="00ED7298" w:rsidP="00856CE1">
      <w:pPr>
        <w:pStyle w:val="bj"/>
        <w:spacing w:before="0" w:beforeAutospacing="0" w:after="0" w:afterAutospacing="0"/>
        <w:jc w:val="both"/>
        <w:rPr>
          <w:rStyle w:val="bf"/>
          <w:rFonts w:asciiTheme="minorHAnsi" w:hAnsiTheme="minorHAnsi" w:cstheme="minorHAnsi"/>
          <w:b/>
          <w:bCs/>
        </w:rPr>
      </w:pPr>
    </w:p>
    <w:p w14:paraId="2E907561" w14:textId="32F38638" w:rsidR="00307E15" w:rsidRPr="00B3537C" w:rsidRDefault="00430D75" w:rsidP="00856CE1">
      <w:pPr>
        <w:pStyle w:val="bj"/>
        <w:spacing w:before="0" w:beforeAutospacing="0" w:after="0" w:afterAutospacing="0"/>
        <w:jc w:val="both"/>
        <w:rPr>
          <w:rFonts w:asciiTheme="minorHAnsi" w:hAnsiTheme="minorHAnsi" w:cstheme="minorHAnsi"/>
          <w:b/>
          <w:bCs/>
        </w:rPr>
      </w:pPr>
      <w:r w:rsidRPr="00B3537C">
        <w:rPr>
          <w:rStyle w:val="bf"/>
          <w:rFonts w:asciiTheme="minorHAnsi" w:hAnsiTheme="minorHAnsi" w:cstheme="minorHAnsi"/>
          <w:b/>
          <w:bCs/>
        </w:rPr>
        <w:t xml:space="preserve">Termination payment for </w:t>
      </w:r>
      <w:r w:rsidR="00B3537C" w:rsidRPr="00B3537C">
        <w:rPr>
          <w:rStyle w:val="bf"/>
          <w:rFonts w:asciiTheme="minorHAnsi" w:hAnsiTheme="minorHAnsi" w:cstheme="minorHAnsi"/>
          <w:b/>
          <w:bCs/>
        </w:rPr>
        <w:t>John Cuthbert</w:t>
      </w:r>
      <w:r w:rsidR="00307E15" w:rsidRPr="00B3537C">
        <w:rPr>
          <w:rStyle w:val="bf"/>
          <w:rFonts w:asciiTheme="minorHAnsi" w:hAnsiTheme="minorHAnsi" w:cstheme="minorHAnsi"/>
          <w:b/>
          <w:bCs/>
        </w:rPr>
        <w:t>:</w:t>
      </w:r>
    </w:p>
    <w:p w14:paraId="76F3DC0F" w14:textId="18C9B0C3" w:rsidR="00307E15" w:rsidRPr="00B3537C" w:rsidDel="00ED7298" w:rsidRDefault="00307E15" w:rsidP="00856CE1">
      <w:pPr>
        <w:pStyle w:val="a"/>
        <w:spacing w:before="0" w:beforeAutospacing="0" w:after="0" w:afterAutospacing="0"/>
        <w:jc w:val="both"/>
        <w:rPr>
          <w:rFonts w:asciiTheme="minorHAnsi" w:hAnsiTheme="minorHAnsi" w:cstheme="minorHAnsi"/>
        </w:rPr>
      </w:pPr>
      <w:r w:rsidRPr="00B3537C" w:rsidDel="00ED7298">
        <w:rPr>
          <w:rStyle w:val="bf"/>
          <w:rFonts w:asciiTheme="minorHAnsi" w:hAnsiTheme="minorHAnsi" w:cstheme="minorHAnsi"/>
        </w:rPr>
        <w:t>The following information is provided in accordance with section 430(2B) of the Companies Act 2006</w:t>
      </w:r>
      <w:r w:rsidR="00F877A9" w:rsidRPr="00B3537C">
        <w:rPr>
          <w:rStyle w:val="bf"/>
          <w:rFonts w:asciiTheme="minorHAnsi" w:hAnsiTheme="minorHAnsi" w:cstheme="minorHAnsi"/>
        </w:rPr>
        <w:t xml:space="preserve"> (the Act)</w:t>
      </w:r>
      <w:r w:rsidR="00C74147" w:rsidRPr="00B3537C">
        <w:rPr>
          <w:rStyle w:val="bf"/>
          <w:rFonts w:asciiTheme="minorHAnsi" w:hAnsiTheme="minorHAnsi" w:cstheme="minorHAnsi"/>
        </w:rPr>
        <w:t>.</w:t>
      </w:r>
    </w:p>
    <w:p w14:paraId="01957FE7" w14:textId="77777777" w:rsidR="00C74147" w:rsidRPr="00B3537C" w:rsidRDefault="00C74147" w:rsidP="00856CE1">
      <w:pPr>
        <w:pStyle w:val="br"/>
        <w:spacing w:before="0" w:beforeAutospacing="0" w:after="0" w:afterAutospacing="0"/>
        <w:jc w:val="both"/>
        <w:rPr>
          <w:rStyle w:val="bf"/>
          <w:rFonts w:asciiTheme="minorHAnsi" w:hAnsiTheme="minorHAnsi" w:cstheme="minorHAnsi"/>
        </w:rPr>
      </w:pPr>
    </w:p>
    <w:p w14:paraId="362ED21A" w14:textId="55F7C9A6" w:rsidR="00B3537C" w:rsidRDefault="00B3537C" w:rsidP="00B3537C">
      <w:pPr>
        <w:pStyle w:val="br"/>
        <w:spacing w:before="0" w:beforeAutospacing="0" w:after="264" w:afterAutospacing="0"/>
        <w:jc w:val="both"/>
        <w:rPr>
          <w:rFonts w:asciiTheme="minorHAnsi" w:hAnsiTheme="minorHAnsi" w:cstheme="minorHAnsi"/>
          <w:color w:val="000000"/>
          <w:shd w:val="clear" w:color="auto" w:fill="FFFFFF"/>
        </w:rPr>
      </w:pPr>
      <w:r w:rsidRPr="00B3537C">
        <w:rPr>
          <w:rStyle w:val="bf"/>
          <w:rFonts w:asciiTheme="minorHAnsi" w:hAnsiTheme="minorHAnsi" w:cstheme="minorHAnsi"/>
        </w:rPr>
        <w:t xml:space="preserve">As announced on 10 October 2018, John Cuthbert retired from the Board on 31 October 2018 after nine years’ service as a non-executive director.  </w:t>
      </w:r>
      <w:r w:rsidRPr="00B3537C">
        <w:rPr>
          <w:rFonts w:asciiTheme="minorHAnsi" w:hAnsiTheme="minorHAnsi" w:cstheme="minorHAnsi"/>
          <w:color w:val="000000"/>
          <w:shd w:val="clear" w:color="auto" w:fill="FFFFFF"/>
        </w:rPr>
        <w:t>In accordance with section 430 (2B) of the Companies Act 2006, the Company confirms that John Cuthbert will receive payment of fees as senior independent non-executive director up to and including his date of resignation. No other remuneration payment or payment for loss of office will be made.</w:t>
      </w:r>
    </w:p>
    <w:p w14:paraId="5D1B1970" w14:textId="77777777" w:rsidR="00685951" w:rsidRPr="00731F73" w:rsidRDefault="00685951" w:rsidP="00685951">
      <w:pPr>
        <w:pStyle w:val="Heading1"/>
        <w:numPr>
          <w:ilvl w:val="0"/>
          <w:numId w:val="0"/>
        </w:numPr>
        <w:shd w:val="clear" w:color="auto" w:fill="FFFFFF"/>
        <w:spacing w:before="0" w:after="0"/>
        <w:ind w:left="720" w:hanging="708"/>
        <w:rPr>
          <w:rFonts w:asciiTheme="minorHAnsi" w:hAnsiTheme="minorHAnsi" w:cs="Arial"/>
          <w:sz w:val="22"/>
          <w:szCs w:val="22"/>
        </w:rPr>
      </w:pPr>
      <w:r w:rsidRPr="00731F73">
        <w:rPr>
          <w:rFonts w:asciiTheme="minorHAnsi" w:hAnsiTheme="minorHAnsi" w:cs="Arial"/>
          <w:sz w:val="22"/>
          <w:szCs w:val="22"/>
        </w:rPr>
        <w:t>SECTION 430(2B) COMPANIES ACT 2006 STATEMENT</w:t>
      </w:r>
      <w:r>
        <w:rPr>
          <w:rFonts w:asciiTheme="minorHAnsi" w:hAnsiTheme="minorHAnsi" w:cs="Arial"/>
          <w:sz w:val="22"/>
          <w:szCs w:val="22"/>
        </w:rPr>
        <w:t xml:space="preserve"> 1 august 2018</w:t>
      </w:r>
    </w:p>
    <w:p w14:paraId="73ABD558" w14:textId="77777777" w:rsidR="00685951" w:rsidRPr="00731F73" w:rsidRDefault="00685951" w:rsidP="00685951">
      <w:pPr>
        <w:pStyle w:val="bj"/>
        <w:spacing w:before="0" w:beforeAutospacing="0" w:after="0" w:afterAutospacing="0"/>
        <w:jc w:val="both"/>
        <w:rPr>
          <w:rStyle w:val="bf"/>
          <w:rFonts w:asciiTheme="minorHAnsi" w:hAnsiTheme="minorHAnsi" w:cs="Arial"/>
          <w:b/>
          <w:bCs/>
          <w:color w:val="000000"/>
          <w:sz w:val="22"/>
          <w:szCs w:val="22"/>
        </w:rPr>
      </w:pPr>
    </w:p>
    <w:p w14:paraId="2224943F" w14:textId="77777777" w:rsidR="00685951" w:rsidRPr="00731F73" w:rsidRDefault="00685951" w:rsidP="00685951">
      <w:pPr>
        <w:pStyle w:val="bj"/>
        <w:spacing w:before="0" w:beforeAutospacing="0" w:after="0" w:afterAutospacing="0"/>
        <w:jc w:val="both"/>
        <w:rPr>
          <w:rFonts w:asciiTheme="minorHAnsi" w:hAnsiTheme="minorHAnsi"/>
          <w:b/>
          <w:bCs/>
          <w:color w:val="000000"/>
          <w:sz w:val="22"/>
          <w:szCs w:val="22"/>
        </w:rPr>
      </w:pPr>
      <w:r w:rsidRPr="00731F73">
        <w:rPr>
          <w:rStyle w:val="bf"/>
          <w:rFonts w:asciiTheme="minorHAnsi" w:hAnsiTheme="minorHAnsi" w:cs="Arial"/>
          <w:b/>
          <w:bCs/>
          <w:color w:val="000000"/>
          <w:sz w:val="22"/>
          <w:szCs w:val="22"/>
        </w:rPr>
        <w:t>Termination payment for Ted Ayres:</w:t>
      </w:r>
    </w:p>
    <w:p w14:paraId="7057F15A" w14:textId="77777777" w:rsidR="00685951" w:rsidRPr="00731F73" w:rsidDel="00ED7298" w:rsidRDefault="00685951" w:rsidP="00685951">
      <w:pPr>
        <w:pStyle w:val="a"/>
        <w:spacing w:before="0" w:beforeAutospacing="0" w:after="0" w:afterAutospacing="0"/>
        <w:jc w:val="both"/>
        <w:rPr>
          <w:rFonts w:asciiTheme="minorHAnsi" w:hAnsiTheme="minorHAnsi"/>
          <w:color w:val="000000"/>
          <w:sz w:val="22"/>
          <w:szCs w:val="22"/>
        </w:rPr>
      </w:pPr>
      <w:r w:rsidRPr="00731F73" w:rsidDel="00ED7298">
        <w:rPr>
          <w:rStyle w:val="bf"/>
          <w:rFonts w:asciiTheme="minorHAnsi" w:hAnsiTheme="minorHAnsi" w:cs="Arial"/>
          <w:color w:val="000000"/>
          <w:sz w:val="22"/>
          <w:szCs w:val="22"/>
        </w:rPr>
        <w:t>The following information is provided in accordance with section 430(2B) of the Companies Act 2006</w:t>
      </w:r>
      <w:r w:rsidRPr="00731F73">
        <w:rPr>
          <w:rStyle w:val="bf"/>
          <w:rFonts w:asciiTheme="minorHAnsi" w:hAnsiTheme="minorHAnsi" w:cs="Arial"/>
          <w:color w:val="000000"/>
          <w:sz w:val="22"/>
          <w:szCs w:val="22"/>
        </w:rPr>
        <w:t xml:space="preserve"> (the Act).</w:t>
      </w:r>
    </w:p>
    <w:p w14:paraId="78D2F9EF" w14:textId="77777777" w:rsidR="00685951" w:rsidRPr="00731F73" w:rsidRDefault="00685951" w:rsidP="00685951">
      <w:pPr>
        <w:pStyle w:val="br"/>
        <w:spacing w:before="0" w:beforeAutospacing="0" w:after="0" w:afterAutospacing="0"/>
        <w:jc w:val="both"/>
        <w:rPr>
          <w:rStyle w:val="bf"/>
          <w:rFonts w:asciiTheme="minorHAnsi" w:hAnsiTheme="minorHAnsi" w:cs="Arial"/>
          <w:color w:val="000000"/>
          <w:sz w:val="22"/>
          <w:szCs w:val="22"/>
        </w:rPr>
      </w:pPr>
    </w:p>
    <w:p w14:paraId="50CB49EC" w14:textId="77777777" w:rsidR="00685951" w:rsidRPr="00731F73" w:rsidRDefault="00685951" w:rsidP="00685951">
      <w:pPr>
        <w:pStyle w:val="br"/>
        <w:spacing w:before="0" w:beforeAutospacing="0" w:after="264" w:afterAutospacing="0"/>
        <w:jc w:val="both"/>
        <w:rPr>
          <w:rFonts w:asciiTheme="minorHAnsi" w:hAnsiTheme="minorHAnsi"/>
          <w:color w:val="000000"/>
          <w:sz w:val="22"/>
          <w:szCs w:val="22"/>
        </w:rPr>
      </w:pPr>
      <w:r w:rsidRPr="00731F73">
        <w:rPr>
          <w:rStyle w:val="bf"/>
          <w:rFonts w:asciiTheme="minorHAnsi" w:hAnsiTheme="minorHAnsi" w:cs="Arial"/>
          <w:color w:val="000000"/>
          <w:sz w:val="22"/>
          <w:szCs w:val="22"/>
        </w:rPr>
        <w:t>As announced on 27 July 2018, Ted Ayres left the Board on 31 July 2018.  Ted will receive the following payments</w:t>
      </w:r>
      <w:r w:rsidRPr="00731F73">
        <w:rPr>
          <w:rStyle w:val="av"/>
          <w:rFonts w:asciiTheme="minorHAnsi" w:hAnsiTheme="minorHAnsi" w:cs="Arial"/>
          <w:color w:val="333333"/>
          <w:sz w:val="22"/>
          <w:szCs w:val="22"/>
        </w:rPr>
        <w:t xml:space="preserve"> in line with his service agreement and the Remuneration Policy which was approved by shareholders in 2017:</w:t>
      </w:r>
    </w:p>
    <w:p w14:paraId="21DFC591" w14:textId="77777777" w:rsidR="00685951" w:rsidRPr="00731F73" w:rsidRDefault="00685951" w:rsidP="00685951">
      <w:pPr>
        <w:pStyle w:val="a"/>
        <w:numPr>
          <w:ilvl w:val="0"/>
          <w:numId w:val="1"/>
        </w:numPr>
        <w:spacing w:before="264" w:beforeAutospacing="0" w:after="264" w:afterAutospacing="0"/>
        <w:ind w:left="567" w:hanging="567"/>
        <w:jc w:val="both"/>
        <w:rPr>
          <w:rFonts w:asciiTheme="minorHAnsi" w:hAnsiTheme="minorHAnsi"/>
          <w:color w:val="000000"/>
          <w:sz w:val="22"/>
          <w:szCs w:val="22"/>
        </w:rPr>
      </w:pPr>
      <w:r w:rsidRPr="00731F73">
        <w:rPr>
          <w:rFonts w:asciiTheme="minorHAnsi" w:hAnsiTheme="minorHAnsi" w:cs="Arial"/>
          <w:sz w:val="22"/>
          <w:szCs w:val="22"/>
        </w:rPr>
        <w:t>Ted will be compensated for his entitlement to salary, pension, benefits and car allowance in accordance with his contractual notice period.</w:t>
      </w:r>
    </w:p>
    <w:p w14:paraId="20AB158F" w14:textId="77777777" w:rsidR="00685951" w:rsidRPr="00731F73" w:rsidRDefault="00685951" w:rsidP="00685951">
      <w:pPr>
        <w:pStyle w:val="a"/>
        <w:numPr>
          <w:ilvl w:val="0"/>
          <w:numId w:val="1"/>
        </w:numPr>
        <w:spacing w:before="0" w:beforeAutospacing="0" w:after="225" w:afterAutospacing="0"/>
        <w:ind w:left="567" w:hanging="567"/>
        <w:jc w:val="both"/>
        <w:rPr>
          <w:rStyle w:val="av"/>
          <w:rFonts w:asciiTheme="minorHAnsi" w:hAnsiTheme="minorHAnsi"/>
          <w:color w:val="000000"/>
          <w:sz w:val="22"/>
          <w:szCs w:val="22"/>
        </w:rPr>
      </w:pPr>
      <w:r w:rsidRPr="00731F73">
        <w:rPr>
          <w:rStyle w:val="av"/>
          <w:rFonts w:asciiTheme="minorHAnsi" w:hAnsiTheme="minorHAnsi" w:cs="Arial"/>
          <w:color w:val="333333"/>
          <w:sz w:val="22"/>
          <w:szCs w:val="22"/>
        </w:rPr>
        <w:t>As a good leaver, any unvested conditional awards granted in 2015, 2016 and 2017 under the Performance Share Plan (PSP) will be time pro-rated by reference to 31 July 2018 but will vest on their normal vesting dates.  The level of vesting of each award will be subject to achievement of the relevant performance conditions calculated over the three year performance period for each award.</w:t>
      </w:r>
    </w:p>
    <w:p w14:paraId="5E66C62B" w14:textId="77777777" w:rsidR="00685951" w:rsidRPr="00731F73" w:rsidRDefault="00685951" w:rsidP="00685951">
      <w:pPr>
        <w:pStyle w:val="a"/>
        <w:numPr>
          <w:ilvl w:val="0"/>
          <w:numId w:val="1"/>
        </w:numPr>
        <w:spacing w:before="0" w:beforeAutospacing="0" w:after="225" w:afterAutospacing="0"/>
        <w:ind w:left="567" w:hanging="567"/>
        <w:jc w:val="both"/>
        <w:rPr>
          <w:rStyle w:val="av"/>
          <w:rFonts w:asciiTheme="minorHAnsi" w:hAnsiTheme="minorHAnsi"/>
          <w:color w:val="000000"/>
          <w:sz w:val="22"/>
          <w:szCs w:val="22"/>
        </w:rPr>
      </w:pPr>
      <w:r w:rsidRPr="00731F73">
        <w:rPr>
          <w:rStyle w:val="av"/>
          <w:rFonts w:asciiTheme="minorHAnsi" w:hAnsiTheme="minorHAnsi" w:cs="Arial"/>
          <w:color w:val="333333"/>
          <w:sz w:val="22"/>
          <w:szCs w:val="22"/>
        </w:rPr>
        <w:t>As a good leaver any unvested Savings Related Share Option Scheme options granted under the all employee scheme will be exercisable within 6 months of him leaving the business, in accordance with the scheme rules.</w:t>
      </w:r>
    </w:p>
    <w:p w14:paraId="27CD5ACE" w14:textId="77777777" w:rsidR="00685951" w:rsidRPr="00731F73" w:rsidRDefault="00685951" w:rsidP="00685951">
      <w:pPr>
        <w:pStyle w:val="a"/>
        <w:spacing w:before="264" w:beforeAutospacing="0" w:after="264" w:afterAutospacing="0"/>
        <w:jc w:val="both"/>
        <w:rPr>
          <w:rStyle w:val="av"/>
          <w:rFonts w:asciiTheme="minorHAnsi" w:hAnsiTheme="minorHAnsi"/>
          <w:color w:val="000000"/>
          <w:sz w:val="22"/>
          <w:szCs w:val="22"/>
        </w:rPr>
      </w:pPr>
      <w:r w:rsidRPr="00731F73">
        <w:rPr>
          <w:rFonts w:asciiTheme="minorHAnsi" w:hAnsiTheme="minorHAnsi" w:cs="Arial"/>
          <w:sz w:val="22"/>
          <w:szCs w:val="22"/>
        </w:rPr>
        <w:t>No bonus will be paid for the financial year ending 31 July 201</w:t>
      </w:r>
      <w:r>
        <w:rPr>
          <w:rFonts w:asciiTheme="minorHAnsi" w:hAnsiTheme="minorHAnsi" w:cs="Arial"/>
          <w:sz w:val="22"/>
          <w:szCs w:val="22"/>
        </w:rPr>
        <w:t>8</w:t>
      </w:r>
      <w:r w:rsidRPr="00731F73">
        <w:rPr>
          <w:rFonts w:asciiTheme="minorHAnsi" w:hAnsiTheme="minorHAnsi" w:cs="Arial"/>
          <w:sz w:val="22"/>
          <w:szCs w:val="22"/>
        </w:rPr>
        <w:t xml:space="preserve"> and </w:t>
      </w:r>
      <w:r w:rsidRPr="00731F73">
        <w:rPr>
          <w:rStyle w:val="av"/>
          <w:rFonts w:asciiTheme="minorHAnsi" w:hAnsiTheme="minorHAnsi" w:cs="Arial"/>
          <w:color w:val="333333"/>
          <w:sz w:val="22"/>
          <w:szCs w:val="22"/>
        </w:rPr>
        <w:t>Ted will not be eligible to participate in the annual bonus or the PSP awards for 2018/19.</w:t>
      </w:r>
    </w:p>
    <w:p w14:paraId="0C215BFE" w14:textId="77777777" w:rsidR="00685951" w:rsidRPr="00731F73" w:rsidRDefault="00685951" w:rsidP="00685951">
      <w:pPr>
        <w:pStyle w:val="a"/>
        <w:spacing w:before="0" w:beforeAutospacing="0" w:after="225" w:afterAutospacing="0"/>
        <w:jc w:val="both"/>
        <w:rPr>
          <w:rStyle w:val="av"/>
          <w:rFonts w:asciiTheme="minorHAnsi" w:hAnsiTheme="minorHAnsi"/>
          <w:color w:val="000000"/>
          <w:sz w:val="22"/>
          <w:szCs w:val="22"/>
        </w:rPr>
      </w:pPr>
      <w:r w:rsidRPr="00731F73">
        <w:rPr>
          <w:rStyle w:val="av"/>
          <w:rFonts w:asciiTheme="minorHAnsi" w:hAnsiTheme="minorHAnsi"/>
          <w:color w:val="000000"/>
          <w:sz w:val="22"/>
          <w:szCs w:val="22"/>
        </w:rPr>
        <w:t xml:space="preserve">Ted’s legal fees incurred in relation to his departure from the Board are to be paid by the Company up to a maximum of £3,250 plus VAT.  </w:t>
      </w:r>
    </w:p>
    <w:p w14:paraId="76D2D9DD" w14:textId="77777777" w:rsidR="00685951" w:rsidRPr="00731F73" w:rsidRDefault="00685951" w:rsidP="00685951">
      <w:pPr>
        <w:pStyle w:val="bj"/>
        <w:tabs>
          <w:tab w:val="left" w:pos="0"/>
        </w:tabs>
        <w:spacing w:before="0" w:beforeAutospacing="0" w:after="0" w:afterAutospacing="0"/>
        <w:jc w:val="both"/>
        <w:rPr>
          <w:rStyle w:val="bf"/>
          <w:rFonts w:asciiTheme="minorHAnsi" w:hAnsiTheme="minorHAnsi" w:cs="Arial"/>
          <w:b/>
          <w:bCs/>
          <w:sz w:val="22"/>
          <w:szCs w:val="22"/>
        </w:rPr>
      </w:pPr>
      <w:r w:rsidRPr="00731F73">
        <w:rPr>
          <w:rFonts w:asciiTheme="minorHAnsi" w:hAnsiTheme="minorHAnsi"/>
          <w:b/>
          <w:sz w:val="22"/>
          <w:szCs w:val="22"/>
        </w:rPr>
        <w:lastRenderedPageBreak/>
        <w:t>THE FOLLOWING INFORMATION IS NOT REQUIRED TO BE DISCLOSED UNDER THE ACT BUT IS BEING DISCLOSED FOR INFORMATION PURPOSES ONLY</w:t>
      </w:r>
      <w:r w:rsidRPr="00731F73">
        <w:rPr>
          <w:rStyle w:val="bf"/>
          <w:rFonts w:asciiTheme="minorHAnsi" w:hAnsiTheme="minorHAnsi" w:cs="Arial"/>
          <w:b/>
          <w:bCs/>
          <w:sz w:val="22"/>
          <w:szCs w:val="22"/>
        </w:rPr>
        <w:t>.</w:t>
      </w:r>
    </w:p>
    <w:p w14:paraId="11FCF524" w14:textId="77777777" w:rsidR="00685951" w:rsidRPr="00731F73" w:rsidRDefault="00685951" w:rsidP="00685951">
      <w:pPr>
        <w:pStyle w:val="bj"/>
        <w:tabs>
          <w:tab w:val="left" w:pos="0"/>
        </w:tabs>
        <w:spacing w:before="0" w:beforeAutospacing="0" w:after="0" w:afterAutospacing="0"/>
        <w:jc w:val="both"/>
        <w:rPr>
          <w:rStyle w:val="bf"/>
          <w:rFonts w:asciiTheme="minorHAnsi" w:hAnsiTheme="minorHAnsi" w:cs="Arial"/>
          <w:b/>
          <w:bCs/>
          <w:color w:val="000000"/>
          <w:sz w:val="22"/>
          <w:szCs w:val="22"/>
        </w:rPr>
      </w:pPr>
    </w:p>
    <w:p w14:paraId="30551150" w14:textId="77777777" w:rsidR="00685951" w:rsidRPr="00731F73" w:rsidRDefault="00685951" w:rsidP="00685951">
      <w:pPr>
        <w:pStyle w:val="bj"/>
        <w:tabs>
          <w:tab w:val="left" w:pos="0"/>
        </w:tabs>
        <w:spacing w:before="0" w:beforeAutospacing="0" w:after="0" w:afterAutospacing="0"/>
        <w:jc w:val="both"/>
        <w:rPr>
          <w:rStyle w:val="bf"/>
          <w:rFonts w:cs="Arial"/>
          <w:b/>
          <w:bCs/>
          <w:color w:val="000000"/>
          <w:sz w:val="22"/>
          <w:szCs w:val="22"/>
        </w:rPr>
      </w:pPr>
      <w:r w:rsidRPr="00731F73">
        <w:rPr>
          <w:rStyle w:val="bf"/>
          <w:rFonts w:asciiTheme="minorHAnsi" w:hAnsiTheme="minorHAnsi" w:cs="Arial"/>
          <w:b/>
          <w:bCs/>
          <w:color w:val="000000"/>
          <w:sz w:val="22"/>
          <w:szCs w:val="22"/>
        </w:rPr>
        <w:t>New remuneration package for Jason Honeyman on his promotion to Chief Executive on 1 August 2018</w:t>
      </w:r>
    </w:p>
    <w:p w14:paraId="4A85FC7C" w14:textId="77777777" w:rsidR="00685951" w:rsidRPr="00731F73" w:rsidRDefault="00685951" w:rsidP="00685951">
      <w:pPr>
        <w:pStyle w:val="bj"/>
        <w:tabs>
          <w:tab w:val="left" w:pos="0"/>
        </w:tabs>
        <w:spacing w:before="0" w:beforeAutospacing="0" w:after="0" w:afterAutospacing="0"/>
        <w:jc w:val="both"/>
        <w:rPr>
          <w:rFonts w:asciiTheme="minorHAnsi" w:hAnsiTheme="minorHAnsi" w:cs="Arial"/>
          <w:b/>
          <w:bCs/>
          <w:color w:val="000000"/>
          <w:sz w:val="22"/>
          <w:szCs w:val="22"/>
        </w:rPr>
      </w:pPr>
      <w:r w:rsidRPr="00731F73">
        <w:rPr>
          <w:rFonts w:asciiTheme="minorHAnsi" w:hAnsiTheme="minorHAnsi" w:cs="Helvetica"/>
          <w:sz w:val="22"/>
          <w:szCs w:val="22"/>
        </w:rPr>
        <w:t>Jason Honeyman, who is currently Chief Operating Officer, becomes Chief Executive on 1 August 2018.  His salary will increase from £383,000 to £530,000 p.a.  All other terms and conditions remain unchanged, with the exception of his car allowance which will increase at its normal review date of 1 August by 2.5% to £31,0</w:t>
      </w:r>
      <w:r>
        <w:rPr>
          <w:rFonts w:asciiTheme="minorHAnsi" w:hAnsiTheme="minorHAnsi" w:cs="Helvetica"/>
          <w:sz w:val="22"/>
          <w:szCs w:val="22"/>
        </w:rPr>
        <w:t>45</w:t>
      </w:r>
      <w:r w:rsidRPr="00731F73">
        <w:rPr>
          <w:rFonts w:asciiTheme="minorHAnsi" w:hAnsiTheme="minorHAnsi" w:cs="Helvetica"/>
          <w:sz w:val="22"/>
          <w:szCs w:val="22"/>
        </w:rPr>
        <w:t xml:space="preserve"> and the notice period which changes from 12 months from the Company and 6 months from Jason to 6 months on either side.</w:t>
      </w:r>
    </w:p>
    <w:p w14:paraId="1133F365" w14:textId="77777777" w:rsidR="00685951" w:rsidRPr="00731F73" w:rsidRDefault="00685951" w:rsidP="00685951">
      <w:pPr>
        <w:spacing w:before="100" w:beforeAutospacing="1" w:after="0"/>
        <w:jc w:val="both"/>
        <w:rPr>
          <w:rFonts w:ascii="Times New Roman" w:hAnsi="Times New Roman" w:cs="Times New Roman"/>
        </w:rPr>
      </w:pPr>
      <w:r w:rsidRPr="00731F73">
        <w:t>With respect to relocation assistance, given that the legal place of work for the Chief Executive is deemed to be Newcastle upon Tyne, for the first year of appointment £30,000 travel and accommodation support will be provided by the Company.  The tax associated with this benefit will also be borne by the Company.  The cost of travel to/from and accommodation in Newcastle in subsequent years will not be reimbursed by the Company.</w:t>
      </w:r>
    </w:p>
    <w:p w14:paraId="110D3513" w14:textId="77777777" w:rsidR="00685951" w:rsidRPr="00731F73" w:rsidRDefault="00685951" w:rsidP="00685951">
      <w:pPr>
        <w:pStyle w:val="bj"/>
        <w:spacing w:before="0" w:beforeAutospacing="0" w:after="0" w:afterAutospacing="0"/>
        <w:jc w:val="both"/>
        <w:rPr>
          <w:rStyle w:val="bf"/>
          <w:rFonts w:asciiTheme="minorHAnsi" w:hAnsiTheme="minorHAnsi" w:cs="Arial"/>
          <w:b/>
          <w:bCs/>
          <w:color w:val="000000"/>
          <w:sz w:val="22"/>
          <w:szCs w:val="22"/>
        </w:rPr>
      </w:pPr>
    </w:p>
    <w:p w14:paraId="42B9C30A" w14:textId="77777777" w:rsidR="00685951" w:rsidRPr="00731F73" w:rsidRDefault="00685951" w:rsidP="00685951">
      <w:pPr>
        <w:pStyle w:val="bj"/>
        <w:spacing w:before="0" w:beforeAutospacing="0" w:after="0" w:afterAutospacing="0"/>
        <w:jc w:val="both"/>
        <w:rPr>
          <w:rStyle w:val="bf"/>
          <w:rFonts w:asciiTheme="minorHAnsi" w:hAnsiTheme="minorHAnsi" w:cs="Arial"/>
          <w:b/>
          <w:bCs/>
          <w:color w:val="000000"/>
          <w:sz w:val="22"/>
          <w:szCs w:val="22"/>
        </w:rPr>
      </w:pPr>
      <w:r w:rsidRPr="00731F73">
        <w:rPr>
          <w:rStyle w:val="bf"/>
          <w:rFonts w:asciiTheme="minorHAnsi" w:hAnsiTheme="minorHAnsi" w:cs="Arial"/>
          <w:b/>
          <w:bCs/>
          <w:color w:val="000000"/>
          <w:sz w:val="22"/>
          <w:szCs w:val="22"/>
        </w:rPr>
        <w:t>New remuneration package for Paul Hampden Smith on his promotion to Chairman in December 2018</w:t>
      </w:r>
    </w:p>
    <w:p w14:paraId="6B7C25C1" w14:textId="77777777" w:rsidR="00685951" w:rsidRPr="00731F73" w:rsidRDefault="00685951" w:rsidP="00685951">
      <w:pPr>
        <w:pStyle w:val="a"/>
        <w:spacing w:before="0" w:beforeAutospacing="0" w:after="225" w:afterAutospacing="0"/>
        <w:jc w:val="both"/>
        <w:rPr>
          <w:rFonts w:asciiTheme="minorHAnsi" w:hAnsiTheme="minorHAnsi"/>
          <w:sz w:val="22"/>
          <w:szCs w:val="22"/>
        </w:rPr>
      </w:pPr>
      <w:r w:rsidRPr="00731F73">
        <w:rPr>
          <w:rFonts w:asciiTheme="minorHAnsi" w:hAnsiTheme="minorHAnsi"/>
          <w:sz w:val="22"/>
          <w:szCs w:val="22"/>
        </w:rPr>
        <w:t>Following John Watson’s retirement at the conclusion of the Company’s AGM on 12 December 2018, Paul Hampden Smith will take over as Chairman of the Board.  Paul’s fee as Chairman will be £217,000 p.a</w:t>
      </w:r>
      <w:proofErr w:type="gramStart"/>
      <w:r w:rsidRPr="00731F73">
        <w:rPr>
          <w:rFonts w:asciiTheme="minorHAnsi" w:hAnsiTheme="minorHAnsi"/>
          <w:sz w:val="22"/>
          <w:szCs w:val="22"/>
        </w:rPr>
        <w:t>..</w:t>
      </w:r>
      <w:proofErr w:type="gramEnd"/>
    </w:p>
    <w:p w14:paraId="29131BB8" w14:textId="5811CA96" w:rsidR="00685951" w:rsidRPr="00685951" w:rsidRDefault="00685951" w:rsidP="00685951">
      <w:pPr>
        <w:pStyle w:val="a"/>
        <w:spacing w:before="0" w:beforeAutospacing="0" w:after="225" w:afterAutospacing="0"/>
        <w:jc w:val="both"/>
        <w:rPr>
          <w:rStyle w:val="av"/>
          <w:rFonts w:asciiTheme="minorHAnsi" w:hAnsiTheme="minorHAnsi"/>
          <w:sz w:val="22"/>
          <w:szCs w:val="22"/>
        </w:rPr>
      </w:pPr>
      <w:r w:rsidRPr="00731F73">
        <w:rPr>
          <w:rStyle w:val="av"/>
          <w:rFonts w:asciiTheme="minorHAnsi" w:hAnsiTheme="minorHAnsi" w:cs="Arial"/>
          <w:color w:val="333333"/>
          <w:sz w:val="22"/>
          <w:szCs w:val="22"/>
        </w:rPr>
        <w:t>Further details of the operation of the bonus scheme and PSP are set out in the Company’s Annual Report for the year ended 31 July 2017. Full disclosure of these payments will be provided in the Company’s Annual Report for the year ending 31 July 2018, which will be published in November 2018.</w:t>
      </w:r>
    </w:p>
    <w:sectPr w:rsidR="00685951" w:rsidRPr="00685951" w:rsidSect="00731F73">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78EC994"/>
    <w:lvl w:ilvl="0">
      <w:start w:val="1"/>
      <w:numFmt w:val="decimal"/>
      <w:pStyle w:val="Heading1"/>
      <w:lvlText w:val="%1."/>
      <w:lvlJc w:val="left"/>
      <w:pPr>
        <w:tabs>
          <w:tab w:val="num" w:pos="720"/>
        </w:tabs>
        <w:ind w:left="720" w:hanging="708"/>
      </w:pPr>
      <w:rPr>
        <w:rFonts w:hint="default"/>
        <w:b/>
      </w:rPr>
    </w:lvl>
    <w:lvl w:ilvl="1">
      <w:start w:val="1"/>
      <w:numFmt w:val="decimal"/>
      <w:pStyle w:val="Heading2"/>
      <w:lvlText w:val="%1.%2"/>
      <w:lvlJc w:val="left"/>
      <w:pPr>
        <w:tabs>
          <w:tab w:val="num" w:pos="1559"/>
        </w:tabs>
        <w:ind w:left="1559" w:hanging="708"/>
      </w:pPr>
      <w:rPr>
        <w:rFonts w:hint="default"/>
        <w:b w:val="0"/>
        <w:i w:val="0"/>
      </w:rPr>
    </w:lvl>
    <w:lvl w:ilvl="2">
      <w:start w:val="1"/>
      <w:numFmt w:val="decimal"/>
      <w:pStyle w:val="Heading3"/>
      <w:lvlText w:val="%1.%2.%3"/>
      <w:lvlJc w:val="left"/>
      <w:pPr>
        <w:tabs>
          <w:tab w:val="num" w:pos="2138"/>
        </w:tabs>
        <w:ind w:left="2138" w:hanging="708"/>
      </w:pPr>
      <w:rPr>
        <w:rFonts w:hint="default"/>
      </w:rPr>
    </w:lvl>
    <w:lvl w:ilvl="3">
      <w:start w:val="1"/>
      <w:numFmt w:val="decimal"/>
      <w:pStyle w:val="Heading4"/>
      <w:lvlText w:val="%1.%2.%3.%4"/>
      <w:lvlJc w:val="left"/>
      <w:pPr>
        <w:tabs>
          <w:tab w:val="num" w:pos="3612"/>
        </w:tabs>
        <w:ind w:left="3612" w:hanging="708"/>
      </w:pPr>
      <w:rPr>
        <w:rFonts w:hint="default"/>
      </w:rPr>
    </w:lvl>
    <w:lvl w:ilvl="4">
      <w:start w:val="1"/>
      <w:numFmt w:val="lowerLetter"/>
      <w:pStyle w:val="Heading5"/>
      <w:lvlText w:val="(%5)"/>
      <w:lvlJc w:val="left"/>
      <w:pPr>
        <w:tabs>
          <w:tab w:val="num" w:pos="4349"/>
        </w:tabs>
        <w:ind w:left="4349" w:hanging="708"/>
      </w:pPr>
      <w:rPr>
        <w:rFonts w:hint="default"/>
      </w:rPr>
    </w:lvl>
    <w:lvl w:ilvl="5">
      <w:start w:val="1"/>
      <w:numFmt w:val="lowerRoman"/>
      <w:pStyle w:val="Heading6"/>
      <w:lvlText w:val="(%6)"/>
      <w:lvlJc w:val="left"/>
      <w:pPr>
        <w:tabs>
          <w:tab w:val="num" w:pos="5058"/>
        </w:tabs>
        <w:ind w:left="5058" w:hanging="708"/>
      </w:pPr>
      <w:rPr>
        <w:rFonts w:hint="default"/>
      </w:rPr>
    </w:lvl>
    <w:lvl w:ilvl="6">
      <w:start w:val="1"/>
      <w:numFmt w:val="none"/>
      <w:pStyle w:val="Heading7"/>
      <w:lvlText w:val=""/>
      <w:lvlJc w:val="left"/>
      <w:pPr>
        <w:tabs>
          <w:tab w:val="num" w:pos="5761"/>
        </w:tabs>
        <w:ind w:left="5761" w:hanging="708"/>
      </w:pPr>
      <w:rPr>
        <w:rFonts w:ascii="Symbol" w:hAnsi="Symbol" w:hint="default"/>
      </w:rPr>
    </w:lvl>
    <w:lvl w:ilvl="7">
      <w:start w:val="1"/>
      <w:numFmt w:val="none"/>
      <w:pStyle w:val="Heading8"/>
      <w:lvlText w:val=""/>
      <w:lvlJc w:val="left"/>
      <w:pPr>
        <w:tabs>
          <w:tab w:val="num" w:pos="6447"/>
        </w:tabs>
        <w:ind w:left="6447" w:hanging="708"/>
      </w:pPr>
      <w:rPr>
        <w:rFonts w:ascii="Symbol" w:hAnsi="Symbol" w:hint="default"/>
      </w:rPr>
    </w:lvl>
    <w:lvl w:ilvl="8">
      <w:start w:val="1"/>
      <w:numFmt w:val="none"/>
      <w:pStyle w:val="Heading9"/>
      <w:lvlText w:val=""/>
      <w:lvlJc w:val="left"/>
      <w:pPr>
        <w:tabs>
          <w:tab w:val="num" w:pos="7155"/>
        </w:tabs>
        <w:ind w:left="7155" w:hanging="708"/>
      </w:pPr>
      <w:rPr>
        <w:rFonts w:ascii="Symbol" w:hAnsi="Symbol" w:hint="default"/>
      </w:rPr>
    </w:lvl>
  </w:abstractNum>
  <w:abstractNum w:abstractNumId="1" w15:restartNumberingAfterBreak="0">
    <w:nsid w:val="0BB8538B"/>
    <w:multiLevelType w:val="multilevel"/>
    <w:tmpl w:val="6A98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61388"/>
    <w:multiLevelType w:val="multilevel"/>
    <w:tmpl w:val="19A42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47162"/>
    <w:multiLevelType w:val="multilevel"/>
    <w:tmpl w:val="24042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AD0360"/>
    <w:multiLevelType w:val="multilevel"/>
    <w:tmpl w:val="2F9E1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14EC9"/>
    <w:multiLevelType w:val="hybridMultilevel"/>
    <w:tmpl w:val="5758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70AD2"/>
    <w:multiLevelType w:val="multilevel"/>
    <w:tmpl w:val="8C0C4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B25FE"/>
    <w:multiLevelType w:val="multilevel"/>
    <w:tmpl w:val="8AF0A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E20324"/>
    <w:multiLevelType w:val="multilevel"/>
    <w:tmpl w:val="3C340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B2DA1"/>
    <w:multiLevelType w:val="multilevel"/>
    <w:tmpl w:val="48D20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E464B6"/>
    <w:multiLevelType w:val="multilevel"/>
    <w:tmpl w:val="ADF2B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5F0CB0"/>
    <w:multiLevelType w:val="multilevel"/>
    <w:tmpl w:val="BD3E8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F66519"/>
    <w:multiLevelType w:val="multilevel"/>
    <w:tmpl w:val="871A9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0"/>
  </w:num>
  <w:num w:numId="4">
    <w:abstractNumId w:val="12"/>
  </w:num>
  <w:num w:numId="5">
    <w:abstractNumId w:val="2"/>
  </w:num>
  <w:num w:numId="6">
    <w:abstractNumId w:val="3"/>
  </w:num>
  <w:num w:numId="7">
    <w:abstractNumId w:val="1"/>
  </w:num>
  <w:num w:numId="8">
    <w:abstractNumId w:val="6"/>
  </w:num>
  <w:num w:numId="9">
    <w:abstractNumId w:val="7"/>
  </w:num>
  <w:num w:numId="10">
    <w:abstractNumId w:val="4"/>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15"/>
    <w:rsid w:val="00045FE9"/>
    <w:rsid w:val="00055AD4"/>
    <w:rsid w:val="00076193"/>
    <w:rsid w:val="00090B01"/>
    <w:rsid w:val="000E03AA"/>
    <w:rsid w:val="00146A36"/>
    <w:rsid w:val="001C492E"/>
    <w:rsid w:val="001E0FA7"/>
    <w:rsid w:val="00207D0D"/>
    <w:rsid w:val="00307E15"/>
    <w:rsid w:val="003446E2"/>
    <w:rsid w:val="003943FB"/>
    <w:rsid w:val="004113DF"/>
    <w:rsid w:val="00430D75"/>
    <w:rsid w:val="004A318A"/>
    <w:rsid w:val="004F6CFF"/>
    <w:rsid w:val="0057742D"/>
    <w:rsid w:val="005C1B62"/>
    <w:rsid w:val="005F69A1"/>
    <w:rsid w:val="00654FB8"/>
    <w:rsid w:val="00685951"/>
    <w:rsid w:val="00707D38"/>
    <w:rsid w:val="00731F73"/>
    <w:rsid w:val="007926F3"/>
    <w:rsid w:val="00795203"/>
    <w:rsid w:val="007C4EFB"/>
    <w:rsid w:val="008077A0"/>
    <w:rsid w:val="00826A96"/>
    <w:rsid w:val="0083333C"/>
    <w:rsid w:val="00856CE1"/>
    <w:rsid w:val="00907FAD"/>
    <w:rsid w:val="009468BF"/>
    <w:rsid w:val="009E65C7"/>
    <w:rsid w:val="00A00BDF"/>
    <w:rsid w:val="00A01884"/>
    <w:rsid w:val="00A335CE"/>
    <w:rsid w:val="00A41F8A"/>
    <w:rsid w:val="00A46855"/>
    <w:rsid w:val="00B3537C"/>
    <w:rsid w:val="00B6741A"/>
    <w:rsid w:val="00BB2629"/>
    <w:rsid w:val="00BC2821"/>
    <w:rsid w:val="00C51045"/>
    <w:rsid w:val="00C52065"/>
    <w:rsid w:val="00C74147"/>
    <w:rsid w:val="00D837EC"/>
    <w:rsid w:val="00E04F22"/>
    <w:rsid w:val="00E22F7F"/>
    <w:rsid w:val="00E4416E"/>
    <w:rsid w:val="00E60B75"/>
    <w:rsid w:val="00E663A0"/>
    <w:rsid w:val="00ED0C4F"/>
    <w:rsid w:val="00ED2BAB"/>
    <w:rsid w:val="00ED7298"/>
    <w:rsid w:val="00F05025"/>
    <w:rsid w:val="00F14790"/>
    <w:rsid w:val="00F877A9"/>
    <w:rsid w:val="00FB49B2"/>
    <w:rsid w:val="00FD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D37F"/>
  <w15:docId w15:val="{19A97759-87F0-4E68-AF6E-E53377B2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4FB8"/>
    <w:pPr>
      <w:widowControl w:val="0"/>
      <w:numPr>
        <w:numId w:val="13"/>
      </w:numPr>
      <w:tabs>
        <w:tab w:val="left" w:pos="1418"/>
      </w:tabs>
      <w:spacing w:before="200" w:after="60" w:line="288" w:lineRule="auto"/>
      <w:jc w:val="both"/>
      <w:outlineLvl w:val="0"/>
    </w:pPr>
    <w:rPr>
      <w:rFonts w:ascii="Arial" w:eastAsia="Times New Roman" w:hAnsi="Arial" w:cs="Times New Roman"/>
      <w:b/>
      <w:caps/>
      <w:sz w:val="20"/>
      <w:szCs w:val="20"/>
      <w:lang w:eastAsia="en-GB"/>
    </w:rPr>
  </w:style>
  <w:style w:type="paragraph" w:styleId="Heading2">
    <w:name w:val="heading 2"/>
    <w:basedOn w:val="Normal"/>
    <w:next w:val="Normal"/>
    <w:link w:val="Heading2Char"/>
    <w:qFormat/>
    <w:rsid w:val="00654FB8"/>
    <w:pPr>
      <w:widowControl w:val="0"/>
      <w:numPr>
        <w:ilvl w:val="1"/>
        <w:numId w:val="13"/>
      </w:numPr>
      <w:tabs>
        <w:tab w:val="left" w:pos="2410"/>
      </w:tabs>
      <w:spacing w:before="200" w:after="60" w:line="288" w:lineRule="auto"/>
      <w:jc w:val="both"/>
      <w:outlineLvl w:val="1"/>
    </w:pPr>
    <w:rPr>
      <w:rFonts w:ascii="Arial" w:eastAsia="Times New Roman" w:hAnsi="Arial" w:cs="Times New Roman"/>
      <w:sz w:val="20"/>
      <w:szCs w:val="20"/>
      <w:lang w:eastAsia="en-GB"/>
    </w:rPr>
  </w:style>
  <w:style w:type="paragraph" w:styleId="Heading3">
    <w:name w:val="heading 3"/>
    <w:basedOn w:val="Normal"/>
    <w:next w:val="Normal"/>
    <w:link w:val="Heading3Char"/>
    <w:qFormat/>
    <w:rsid w:val="00654FB8"/>
    <w:pPr>
      <w:widowControl w:val="0"/>
      <w:numPr>
        <w:ilvl w:val="2"/>
        <w:numId w:val="13"/>
      </w:numPr>
      <w:tabs>
        <w:tab w:val="left" w:pos="2410"/>
      </w:tabs>
      <w:spacing w:before="200" w:after="60" w:line="288" w:lineRule="auto"/>
      <w:jc w:val="both"/>
      <w:outlineLvl w:val="2"/>
    </w:pPr>
    <w:rPr>
      <w:rFonts w:ascii="Arial" w:eastAsia="Times New Roman" w:hAnsi="Arial" w:cs="Times New Roman"/>
      <w:sz w:val="20"/>
      <w:szCs w:val="20"/>
      <w:lang w:eastAsia="en-GB"/>
    </w:rPr>
  </w:style>
  <w:style w:type="paragraph" w:styleId="Heading4">
    <w:name w:val="heading 4"/>
    <w:basedOn w:val="Normal"/>
    <w:next w:val="Normal"/>
    <w:link w:val="Heading4Char"/>
    <w:qFormat/>
    <w:rsid w:val="00654FB8"/>
    <w:pPr>
      <w:widowControl w:val="0"/>
      <w:numPr>
        <w:ilvl w:val="3"/>
        <w:numId w:val="13"/>
      </w:numPr>
      <w:tabs>
        <w:tab w:val="left" w:pos="3686"/>
      </w:tabs>
      <w:spacing w:before="200" w:after="60" w:line="288" w:lineRule="auto"/>
      <w:jc w:val="both"/>
      <w:outlineLvl w:val="3"/>
    </w:pPr>
    <w:rPr>
      <w:rFonts w:ascii="Arial" w:eastAsia="Times New Roman" w:hAnsi="Arial" w:cs="Times New Roman"/>
      <w:sz w:val="20"/>
      <w:szCs w:val="20"/>
      <w:lang w:eastAsia="en-GB"/>
    </w:rPr>
  </w:style>
  <w:style w:type="paragraph" w:styleId="Heading5">
    <w:name w:val="heading 5"/>
    <w:basedOn w:val="Normal"/>
    <w:next w:val="Normal"/>
    <w:link w:val="Heading5Char"/>
    <w:qFormat/>
    <w:rsid w:val="00654FB8"/>
    <w:pPr>
      <w:widowControl w:val="0"/>
      <w:numPr>
        <w:ilvl w:val="4"/>
        <w:numId w:val="13"/>
      </w:numPr>
      <w:tabs>
        <w:tab w:val="left" w:pos="5245"/>
      </w:tabs>
      <w:spacing w:before="200" w:after="60" w:line="288" w:lineRule="auto"/>
      <w:jc w:val="both"/>
      <w:outlineLvl w:val="4"/>
    </w:pPr>
    <w:rPr>
      <w:rFonts w:ascii="Arial" w:eastAsia="Times New Roman" w:hAnsi="Arial" w:cs="Times New Roman"/>
      <w:sz w:val="20"/>
      <w:szCs w:val="20"/>
      <w:lang w:eastAsia="en-GB"/>
    </w:rPr>
  </w:style>
  <w:style w:type="paragraph" w:styleId="Heading6">
    <w:name w:val="heading 6"/>
    <w:basedOn w:val="Normal"/>
    <w:next w:val="Normal"/>
    <w:link w:val="Heading6Char"/>
    <w:qFormat/>
    <w:rsid w:val="00654FB8"/>
    <w:pPr>
      <w:widowControl w:val="0"/>
      <w:numPr>
        <w:ilvl w:val="5"/>
        <w:numId w:val="13"/>
      </w:numPr>
      <w:tabs>
        <w:tab w:val="left" w:pos="5954"/>
      </w:tabs>
      <w:spacing w:before="200" w:after="60" w:line="288" w:lineRule="auto"/>
      <w:jc w:val="both"/>
      <w:outlineLvl w:val="5"/>
    </w:pPr>
    <w:rPr>
      <w:rFonts w:ascii="Arial" w:eastAsia="Times New Roman" w:hAnsi="Arial" w:cs="Times New Roman"/>
      <w:sz w:val="20"/>
      <w:szCs w:val="20"/>
      <w:lang w:eastAsia="en-GB"/>
    </w:rPr>
  </w:style>
  <w:style w:type="paragraph" w:styleId="Heading7">
    <w:name w:val="heading 7"/>
    <w:basedOn w:val="Normal"/>
    <w:next w:val="Normal"/>
    <w:link w:val="Heading7Char"/>
    <w:qFormat/>
    <w:rsid w:val="00654FB8"/>
    <w:pPr>
      <w:widowControl w:val="0"/>
      <w:numPr>
        <w:ilvl w:val="6"/>
        <w:numId w:val="13"/>
      </w:numPr>
      <w:tabs>
        <w:tab w:val="left" w:pos="6662"/>
      </w:tabs>
      <w:spacing w:before="200" w:after="60" w:line="288"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654FB8"/>
    <w:pPr>
      <w:widowControl w:val="0"/>
      <w:numPr>
        <w:ilvl w:val="7"/>
        <w:numId w:val="13"/>
      </w:numPr>
      <w:tabs>
        <w:tab w:val="left" w:pos="7371"/>
      </w:tabs>
      <w:spacing w:before="200" w:after="60" w:line="288" w:lineRule="auto"/>
      <w:jc w:val="both"/>
      <w:outlineLvl w:val="7"/>
    </w:pPr>
    <w:rPr>
      <w:rFonts w:ascii="Arial" w:eastAsia="Times New Roman" w:hAnsi="Arial" w:cs="Times New Roman"/>
      <w:sz w:val="20"/>
      <w:szCs w:val="20"/>
      <w:lang w:eastAsia="en-GB"/>
    </w:rPr>
  </w:style>
  <w:style w:type="paragraph" w:styleId="Heading9">
    <w:name w:val="heading 9"/>
    <w:basedOn w:val="Normal"/>
    <w:next w:val="Normal"/>
    <w:link w:val="Heading9Char"/>
    <w:qFormat/>
    <w:rsid w:val="00654FB8"/>
    <w:pPr>
      <w:widowControl w:val="0"/>
      <w:numPr>
        <w:ilvl w:val="8"/>
        <w:numId w:val="13"/>
      </w:numPr>
      <w:tabs>
        <w:tab w:val="left" w:pos="8080"/>
      </w:tabs>
      <w:spacing w:before="200" w:after="60" w:line="288" w:lineRule="auto"/>
      <w:jc w:val="both"/>
      <w:outlineLvl w:val="8"/>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j">
    <w:name w:val="bj"/>
    <w:basedOn w:val="Normal"/>
    <w:rsid w:val="00307E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f">
    <w:name w:val="bf"/>
    <w:basedOn w:val="DefaultParagraphFont"/>
    <w:rsid w:val="00307E15"/>
  </w:style>
  <w:style w:type="paragraph" w:customStyle="1" w:styleId="a">
    <w:name w:val="a"/>
    <w:basedOn w:val="Normal"/>
    <w:rsid w:val="00307E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
    <w:name w:val="br"/>
    <w:basedOn w:val="Normal"/>
    <w:rsid w:val="00307E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w">
    <w:name w:val="aw"/>
    <w:basedOn w:val="DefaultParagraphFont"/>
    <w:rsid w:val="00307E15"/>
  </w:style>
  <w:style w:type="character" w:customStyle="1" w:styleId="av">
    <w:name w:val="av"/>
    <w:basedOn w:val="DefaultParagraphFont"/>
    <w:rsid w:val="00307E15"/>
  </w:style>
  <w:style w:type="character" w:customStyle="1" w:styleId="at">
    <w:name w:val="at"/>
    <w:basedOn w:val="DefaultParagraphFont"/>
    <w:rsid w:val="00307E15"/>
  </w:style>
  <w:style w:type="paragraph" w:customStyle="1" w:styleId="bs">
    <w:name w:val="bs"/>
    <w:basedOn w:val="Normal"/>
    <w:rsid w:val="00307E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n">
    <w:name w:val="bn"/>
    <w:basedOn w:val="Normal"/>
    <w:rsid w:val="00307E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54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8"/>
    <w:rPr>
      <w:rFonts w:ascii="Segoe UI" w:hAnsi="Segoe UI" w:cs="Segoe UI"/>
      <w:sz w:val="18"/>
      <w:szCs w:val="18"/>
    </w:rPr>
  </w:style>
  <w:style w:type="character" w:customStyle="1" w:styleId="Heading1Char">
    <w:name w:val="Heading 1 Char"/>
    <w:basedOn w:val="DefaultParagraphFont"/>
    <w:link w:val="Heading1"/>
    <w:rsid w:val="00654FB8"/>
    <w:rPr>
      <w:rFonts w:ascii="Arial" w:eastAsia="Times New Roman" w:hAnsi="Arial" w:cs="Times New Roman"/>
      <w:b/>
      <w:caps/>
      <w:sz w:val="20"/>
      <w:szCs w:val="20"/>
      <w:lang w:eastAsia="en-GB"/>
    </w:rPr>
  </w:style>
  <w:style w:type="character" w:customStyle="1" w:styleId="Heading2Char">
    <w:name w:val="Heading 2 Char"/>
    <w:basedOn w:val="DefaultParagraphFont"/>
    <w:link w:val="Heading2"/>
    <w:rsid w:val="00654FB8"/>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654FB8"/>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654FB8"/>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654FB8"/>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654FB8"/>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654FB8"/>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654FB8"/>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654FB8"/>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F14790"/>
    <w:rPr>
      <w:sz w:val="16"/>
      <w:szCs w:val="16"/>
    </w:rPr>
  </w:style>
  <w:style w:type="paragraph" w:styleId="CommentText">
    <w:name w:val="annotation text"/>
    <w:basedOn w:val="Normal"/>
    <w:link w:val="CommentTextChar"/>
    <w:uiPriority w:val="99"/>
    <w:semiHidden/>
    <w:unhideWhenUsed/>
    <w:rsid w:val="00F14790"/>
    <w:pPr>
      <w:spacing w:line="240" w:lineRule="auto"/>
    </w:pPr>
    <w:rPr>
      <w:sz w:val="20"/>
      <w:szCs w:val="20"/>
    </w:rPr>
  </w:style>
  <w:style w:type="character" w:customStyle="1" w:styleId="CommentTextChar">
    <w:name w:val="Comment Text Char"/>
    <w:basedOn w:val="DefaultParagraphFont"/>
    <w:link w:val="CommentText"/>
    <w:uiPriority w:val="99"/>
    <w:semiHidden/>
    <w:rsid w:val="00F14790"/>
    <w:rPr>
      <w:sz w:val="20"/>
      <w:szCs w:val="20"/>
    </w:rPr>
  </w:style>
  <w:style w:type="paragraph" w:styleId="CommentSubject">
    <w:name w:val="annotation subject"/>
    <w:basedOn w:val="CommentText"/>
    <w:next w:val="CommentText"/>
    <w:link w:val="CommentSubjectChar"/>
    <w:uiPriority w:val="99"/>
    <w:semiHidden/>
    <w:unhideWhenUsed/>
    <w:rsid w:val="00F14790"/>
    <w:rPr>
      <w:b/>
      <w:bCs/>
    </w:rPr>
  </w:style>
  <w:style w:type="character" w:customStyle="1" w:styleId="CommentSubjectChar">
    <w:name w:val="Comment Subject Char"/>
    <w:basedOn w:val="CommentTextChar"/>
    <w:link w:val="CommentSubject"/>
    <w:uiPriority w:val="99"/>
    <w:semiHidden/>
    <w:rsid w:val="00F147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70826">
      <w:bodyDiv w:val="1"/>
      <w:marLeft w:val="0"/>
      <w:marRight w:val="0"/>
      <w:marTop w:val="0"/>
      <w:marBottom w:val="0"/>
      <w:divBdr>
        <w:top w:val="none" w:sz="0" w:space="0" w:color="auto"/>
        <w:left w:val="none" w:sz="0" w:space="0" w:color="auto"/>
        <w:bottom w:val="none" w:sz="0" w:space="0" w:color="auto"/>
        <w:right w:val="none" w:sz="0" w:space="0" w:color="auto"/>
      </w:divBdr>
    </w:div>
    <w:div w:id="1608537469">
      <w:bodyDiv w:val="1"/>
      <w:marLeft w:val="0"/>
      <w:marRight w:val="0"/>
      <w:marTop w:val="0"/>
      <w:marBottom w:val="0"/>
      <w:divBdr>
        <w:top w:val="none" w:sz="0" w:space="0" w:color="auto"/>
        <w:left w:val="none" w:sz="0" w:space="0" w:color="auto"/>
        <w:bottom w:val="none" w:sz="0" w:space="0" w:color="auto"/>
        <w:right w:val="none" w:sz="0" w:space="0" w:color="auto"/>
      </w:divBdr>
    </w:div>
    <w:div w:id="21225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Bellway Homes</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Powell</dc:creator>
  <cp:lastModifiedBy>Jayne Powell</cp:lastModifiedBy>
  <cp:revision>4</cp:revision>
  <dcterms:created xsi:type="dcterms:W3CDTF">2018-12-06T14:14:00Z</dcterms:created>
  <dcterms:modified xsi:type="dcterms:W3CDTF">2018-12-06T14:18:00Z</dcterms:modified>
</cp:coreProperties>
</file>